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81" w:rsidRPr="00014D81" w:rsidRDefault="00014D81" w:rsidP="00014D81">
      <w:pPr>
        <w:shd w:val="clear" w:color="auto" w:fill="FFFFFF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</w:pPr>
      <w:r w:rsidRPr="00014D81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szCs w:val="30"/>
          <w:lang w:eastAsia="ru-RU"/>
        </w:rPr>
        <w:t>Диспансеризация взрослого населения Красноярского края</w:t>
      </w:r>
    </w:p>
    <w:p w:rsidR="00014D81" w:rsidRDefault="00014D81" w:rsidP="00014D81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1"/>
          <w:lang w:eastAsia="ru-RU"/>
        </w:rPr>
      </w:pPr>
    </w:p>
    <w:p w:rsidR="00014D81" w:rsidRPr="00527E33" w:rsidRDefault="00014D81" w:rsidP="00014D81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Здоровье – самая большая ценность. </w:t>
      </w:r>
      <w:r w:rsidRPr="00527E3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Будьте внимательны к себе. Пройдите диспансеризацию. </w:t>
      </w:r>
    </w:p>
    <w:p w:rsidR="00014D81" w:rsidRDefault="00014D81" w:rsidP="00014D81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1"/>
          <w:szCs w:val="21"/>
          <w:bdr w:val="none" w:sz="0" w:space="0" w:color="auto" w:frame="1"/>
          <w:lang w:eastAsia="ru-RU"/>
        </w:rPr>
      </w:pPr>
    </w:p>
    <w:p w:rsidR="00014D81" w:rsidRPr="00014D81" w:rsidRDefault="00014D81" w:rsidP="00014D81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color w:val="53535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14D81">
        <w:rPr>
          <w:rFonts w:ascii="Times New Roman" w:eastAsia="Times New Roman" w:hAnsi="Times New Roman" w:cs="Times New Roman"/>
          <w:b/>
          <w:bCs/>
          <w:noProof/>
          <w:color w:val="53535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4050" cy="1409700"/>
            <wp:effectExtent l="19050" t="0" r="0" b="0"/>
            <wp:docPr id="1" name="Рисунок 1" descr="http://www.krasmed.ru/files/images/dispanseriza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med.ru/files/images/dispanseriza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81" w:rsidRPr="00014D81" w:rsidRDefault="00014D81" w:rsidP="00014D81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color w:val="535353"/>
          <w:sz w:val="21"/>
          <w:szCs w:val="21"/>
          <w:lang w:eastAsia="ru-RU"/>
        </w:rPr>
      </w:pPr>
      <w:r w:rsidRPr="00014D81">
        <w:rPr>
          <w:rFonts w:ascii="Times New Roman" w:eastAsia="Times New Roman" w:hAnsi="Times New Roman" w:cs="Times New Roman"/>
          <w:color w:val="535353"/>
          <w:sz w:val="21"/>
          <w:szCs w:val="21"/>
          <w:lang w:eastAsia="ru-RU"/>
        </w:rPr>
        <w:t> </w:t>
      </w:r>
    </w:p>
    <w:p w:rsidR="00014D81" w:rsidRPr="00527E33" w:rsidRDefault="00014D81" w:rsidP="00014D81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/>
          <w:iCs/>
          <w:sz w:val="21"/>
          <w:lang w:eastAsia="ru-RU"/>
        </w:rPr>
      </w:pPr>
      <w:r w:rsidRPr="00527E33">
        <w:rPr>
          <w:rFonts w:ascii="Times New Roman" w:eastAsia="Times New Roman" w:hAnsi="Times New Roman" w:cs="Times New Roman"/>
          <w:i/>
          <w:iCs/>
          <w:sz w:val="21"/>
          <w:lang w:eastAsia="ru-RU"/>
        </w:rPr>
        <w:t xml:space="preserve">      В 2018 году, как и в предыдущие годы, продолжается диспансеризация взрослого населения.</w:t>
      </w:r>
    </w:p>
    <w:p w:rsidR="00014D81" w:rsidRPr="00527E33" w:rsidRDefault="00014D81" w:rsidP="00014D81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1"/>
          <w:szCs w:val="21"/>
        </w:rPr>
      </w:pPr>
      <w:r w:rsidRPr="00527E33">
        <w:rPr>
          <w:i/>
          <w:sz w:val="21"/>
          <w:szCs w:val="21"/>
        </w:rPr>
        <w:t xml:space="preserve">      В отличие от прошлого года, в 2018 г. утверждён новый порядок диспансеризации с меньшим объёмом исследований.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предполагает комплекс диагностических мероприятий, проводимых с целью раннего выявления признаков хронических заболеваний и риска их развития.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проводится бесплатно во всех поликлиниках городов и районов края по участковому принципу, для каждого взрослого жителя края 1 раз в 3 года.  Пройти диспансеризацию в 2018 году нужно всем, кому исполняется: 21, 24, 27, 30, 33, 36, 39, 42, 45, 48, 51, 54, 57, 60, 63, 66, 69, 72, 75, 78, 81, 84, 87, 90, 93, 96, 99 лет.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Обследование проходит в 2 этапа. На I этапе проводится минимум обязательных исследований и консультация терапевта. Если по результатам I этапа не выявляется отклонений в состоянии здоровья, диспансеризация на этом заканчивается.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выявлении отклонений на II этапе проводится дополнительное обследование, по результатам которого диагностируется то или иное заболевание. Гражданам, у которых установлены хронические заболевания или определён высокий риск их развития, проводится углублённое профилактическое консультирование – индивидуальное или групповое, где пациенты получают знания о факторах риска и приобретают навыки сохранения здоровья.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отличие от прошлого года, в 2018 г. утверждён новый порядок диспансеризации с меньшим объёмом исследований.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Обязательным остаётся флюорография органов грудной клетки, электрокардиография для мужчин старше 36 лет и женщин старше 45 лет, определение общего холестерина и глюкозы в крови. Другие исследования, такие как общий анализ крови, анализ мочи, исключены из I этапа диспансеризации.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Изменения в 2018 году коснулись таких исследований, как маммография (проводится женщинам в возрасте от 39 до 49 лет), ПСА-тест (проходят мужчины в возрасте от 45 до 51 года), измерение внутриглазного давления (проходят граждане старше 60 лет). На II этапе при необходимости будет проводиться сканирование сосудов шеи. Для людей старшего возраста </w:t>
      </w:r>
      <w:proofErr w:type="gramStart"/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предусмотрены</w:t>
      </w:r>
      <w:proofErr w:type="gramEnd"/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спирометрия, консультация врача-невролога, офтальмолога, хирурга.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Всем прошедшим диспансеризацию выдаётся паспорт здоровья, где указаны заключения врачей и прописаны индивидуальные рекомендации.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 в Красноярском крае диспансеризацию проходят около 500 тысяч взрослых жителей. Это позволяет значительно улучшить раннюю диагностику злокачественных новообразований, сахарного диабета, </w:t>
      </w:r>
      <w:proofErr w:type="spellStart"/>
      <w:proofErr w:type="gramStart"/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сердечно-сосудистых</w:t>
      </w:r>
      <w:proofErr w:type="spellEnd"/>
      <w:proofErr w:type="gramEnd"/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заболеваний, заболеваний лёгких.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тех, кто внимательно следит за своим здоровьем и по возрасту не подлежит диспансеризации, есть возможность прохождения ежегодного профилактического осмотра.</w:t>
      </w:r>
    </w:p>
    <w:p w:rsidR="00014D81" w:rsidRPr="00527E33" w:rsidRDefault="00014D81" w:rsidP="00014D81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нового порядка диспансеризации:</w:t>
      </w:r>
    </w:p>
    <w:p w:rsidR="00014D81" w:rsidRPr="00527E33" w:rsidRDefault="00014D81" w:rsidP="00014D81">
      <w:pPr>
        <w:numPr>
          <w:ilvl w:val="0"/>
          <w:numId w:val="1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участковый принцип ее организации;</w:t>
      </w:r>
    </w:p>
    <w:p w:rsidR="00014D81" w:rsidRPr="00527E33" w:rsidRDefault="00014D81" w:rsidP="00014D81">
      <w:pPr>
        <w:numPr>
          <w:ilvl w:val="0"/>
          <w:numId w:val="1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дифференцированный набор обследований в зависимости от возраста и пола (в целях повышения вероятности раннего выявления наиболее часто встречающихся для данного пола и возраста хронических неинфекционных заболеваний);</w:t>
      </w:r>
    </w:p>
    <w:p w:rsidR="00014D81" w:rsidRPr="00527E33" w:rsidRDefault="00014D81" w:rsidP="00014D81">
      <w:pPr>
        <w:numPr>
          <w:ilvl w:val="0"/>
          <w:numId w:val="1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установлены 2 этапа проведения диспансеризации (первый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диспансеризации; </w:t>
      </w:r>
      <w:proofErr w:type="gramStart"/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второй этап диспансеризации проводится по определенным на первом этапе показаниям с целью дополнительного обследования и уточнения диагноза заболевания (состояния);</w:t>
      </w:r>
      <w:proofErr w:type="gramEnd"/>
    </w:p>
    <w:p w:rsidR="00014D81" w:rsidRPr="00527E33" w:rsidRDefault="00014D81" w:rsidP="00014D81">
      <w:pPr>
        <w:numPr>
          <w:ilvl w:val="0"/>
          <w:numId w:val="1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конкретизация понятия «факторы риска», к которым относятся повышенный уровень артериального давления, повышенный уровень сахара и холестерина в крови, курение табака, пагубное потребления алкоголя, нерациональное питание, низкая физическая активность, избыточная масса тела и ожирение;</w:t>
      </w:r>
    </w:p>
    <w:p w:rsidR="00014D81" w:rsidRPr="00527E33" w:rsidRDefault="00014D81" w:rsidP="00014D81">
      <w:pPr>
        <w:numPr>
          <w:ilvl w:val="0"/>
          <w:numId w:val="1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уменьшения числа групп здоровья с пяти до трех и новый принцип их определения, позволяющий четко обозначить порядок действий в отношении каждого гражданина.</w:t>
      </w:r>
    </w:p>
    <w:p w:rsidR="00014D81" w:rsidRPr="00527E33" w:rsidRDefault="00014D81" w:rsidP="00014D81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ответы по диспансеризации:</w:t>
      </w:r>
    </w:p>
    <w:p w:rsidR="00014D81" w:rsidRPr="00527E33" w:rsidRDefault="00014D81" w:rsidP="00014D81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381000" cy="381000"/>
            <wp:effectExtent l="19050" t="0" r="0" b="0"/>
            <wp:docPr id="2" name="Рисунок 2" descr="http://www.krasmed.ru/files/images/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med.ru/files/images/q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E3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Для чего нужно проходить диспансеризацию?</w:t>
      </w:r>
    </w:p>
    <w:p w:rsidR="00014D81" w:rsidRPr="00527E33" w:rsidRDefault="00014D81" w:rsidP="00014D81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</w:t>
      </w:r>
      <w:r w:rsidRPr="00527E33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527E3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хронические неинфекционные заболевания</w:t>
      </w: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, лечение которых наиболее эффективно на ранней стадии.</w:t>
      </w:r>
    </w:p>
    <w:p w:rsidR="00014D81" w:rsidRPr="00527E33" w:rsidRDefault="00014D81" w:rsidP="00014D81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направлена также на раннее выявление основных</w:t>
      </w:r>
      <w:r w:rsidRPr="00527E33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527E3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факторов риска развития хронических неинфекционных заболеваний</w:t>
      </w: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, т.е. диспансеризация направлена на снижение инвалидности, преждевременной смертности и увеличение продолжительности жизни.</w:t>
      </w:r>
    </w:p>
    <w:p w:rsidR="00014D81" w:rsidRPr="00527E33" w:rsidRDefault="00014D81" w:rsidP="00014D81">
      <w:pPr>
        <w:numPr>
          <w:ilvl w:val="0"/>
          <w:numId w:val="2"/>
        </w:numPr>
        <w:shd w:val="clear" w:color="auto" w:fill="FFFFFF"/>
        <w:spacing w:after="0" w:line="357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Диспансеризация позволит Вам сохранить и укрепить здоровье, при необходимости своевременно провести </w:t>
      </w:r>
      <w:proofErr w:type="spellStart"/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дообследование</w:t>
      </w:r>
      <w:proofErr w:type="spellEnd"/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лечение. Консультации с врачами и результаты тестов помогут Вам узнать правду о своем здоровье и получить необходимые рекомендации (об основах здорового образа жизни или по выявленным факторам риска).</w:t>
      </w:r>
    </w:p>
    <w:p w:rsidR="00014D81" w:rsidRPr="00527E33" w:rsidRDefault="00014D81" w:rsidP="00014D81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381000" cy="381000"/>
            <wp:effectExtent l="19050" t="0" r="0" b="0"/>
            <wp:docPr id="3" name="Рисунок 3" descr="http://www.krasmed.ru/files/images/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smed.ru/files/images/q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81" w:rsidRPr="00527E33" w:rsidRDefault="00014D81" w:rsidP="00014D81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Какие диагностические исследования проводятся в рамках диспансеризации на первом этапе?</w:t>
      </w:r>
    </w:p>
    <w:p w:rsidR="00014D81" w:rsidRPr="00527E33" w:rsidRDefault="00014D81" w:rsidP="00014D81">
      <w:pPr>
        <w:shd w:val="clear" w:color="auto" w:fill="FFFFFF"/>
        <w:spacing w:after="225" w:line="357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Перечень осмотров врачами-специалистами (фельдшером или акушеркой), исследований и иных медицинских мероприятий, проводимых в рамках диспансеризации, определяется в зависимости от возраста и пола пациента.</w:t>
      </w:r>
      <w:r w:rsidRPr="00527E3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диспансеризации. Первый этап заканчивается приемом (осмотром) врача-терапевта, включающим определение группы состояния здоровья, группы диспансерного наблюдения и проведение краткого профилактического консультирования.</w:t>
      </w:r>
    </w:p>
    <w:p w:rsidR="00014D81" w:rsidRPr="00527E33" w:rsidRDefault="00014D81" w:rsidP="00014D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sz w:val="21"/>
          <w:szCs w:val="21"/>
        </w:rPr>
      </w:pPr>
    </w:p>
    <w:p w:rsidR="00014D81" w:rsidRPr="00D72722" w:rsidRDefault="00014D81" w:rsidP="00D72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1F497D" w:themeColor="text2"/>
        </w:rPr>
      </w:pPr>
      <w:r w:rsidRPr="00D72722">
        <w:rPr>
          <w:color w:val="1F497D" w:themeColor="text2"/>
        </w:rPr>
        <w:t>Для тех, кто внимательно следит за своим здоровьем и по возрасту не подлежит диспансеризации, есть возможность прохождения ежегодного профилактического осмотра.</w:t>
      </w:r>
    </w:p>
    <w:p w:rsidR="00014D81" w:rsidRPr="00D72722" w:rsidRDefault="00014D81" w:rsidP="00D72722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1F497D" w:themeColor="text2"/>
        </w:rPr>
      </w:pPr>
      <w:r w:rsidRPr="00D72722">
        <w:rPr>
          <w:color w:val="1F497D" w:themeColor="text2"/>
        </w:rPr>
        <w:t>При себе нужно иметь лишь паспорт и полис ОМС.</w:t>
      </w:r>
    </w:p>
    <w:p w:rsidR="00014D81" w:rsidRDefault="00014D81" w:rsidP="00BB0A2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014D81" w:rsidRDefault="00014D81" w:rsidP="00BB0A2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sectPr w:rsidR="00014D81" w:rsidSect="00014D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8C6"/>
    <w:multiLevelType w:val="multilevel"/>
    <w:tmpl w:val="2BB05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2313A"/>
    <w:multiLevelType w:val="multilevel"/>
    <w:tmpl w:val="8F4E2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65A93"/>
    <w:multiLevelType w:val="multilevel"/>
    <w:tmpl w:val="FFB67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2E"/>
    <w:rsid w:val="00014D81"/>
    <w:rsid w:val="000C6EF7"/>
    <w:rsid w:val="00234A26"/>
    <w:rsid w:val="00527E33"/>
    <w:rsid w:val="006C7466"/>
    <w:rsid w:val="00983924"/>
    <w:rsid w:val="00BB0A2E"/>
    <w:rsid w:val="00C73FEC"/>
    <w:rsid w:val="00D344E1"/>
    <w:rsid w:val="00D72722"/>
    <w:rsid w:val="00D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EC"/>
  </w:style>
  <w:style w:type="paragraph" w:styleId="2">
    <w:name w:val="heading 2"/>
    <w:basedOn w:val="a"/>
    <w:link w:val="20"/>
    <w:uiPriority w:val="9"/>
    <w:qFormat/>
    <w:rsid w:val="00014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4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A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4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014D81"/>
    <w:rPr>
      <w:i/>
      <w:iCs/>
    </w:rPr>
  </w:style>
  <w:style w:type="character" w:customStyle="1" w:styleId="apple-converted-space">
    <w:name w:val="apple-converted-space"/>
    <w:basedOn w:val="a0"/>
    <w:rsid w:val="00014D81"/>
  </w:style>
  <w:style w:type="character" w:styleId="a6">
    <w:name w:val="Hyperlink"/>
    <w:basedOn w:val="a0"/>
    <w:uiPriority w:val="99"/>
    <w:semiHidden/>
    <w:unhideWhenUsed/>
    <w:rsid w:val="00014D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ED38-B0D7-41F8-96E3-9772E5A2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9</cp:revision>
  <dcterms:created xsi:type="dcterms:W3CDTF">2018-07-23T02:17:00Z</dcterms:created>
  <dcterms:modified xsi:type="dcterms:W3CDTF">2018-07-23T10:05:00Z</dcterms:modified>
</cp:coreProperties>
</file>